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Australian Ophthalmic Nurses Association Inc</w:t>
      </w:r>
      <w:r>
        <w:rPr>
          <w:b w:val="1"/>
          <w:bCs w:val="1"/>
          <w:sz w:val="28"/>
          <w:szCs w:val="28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-426720</wp:posOffset>
                </wp:positionH>
                <wp:positionV relativeFrom="page">
                  <wp:posOffset>246380</wp:posOffset>
                </wp:positionV>
                <wp:extent cx="1453507" cy="1168486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3507" cy="116848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bidi w:val="0"/>
                            </w:pPr>
                            <w:r>
                              <w:drawing xmlns:a="http://schemas.openxmlformats.org/drawingml/2006/main">
                                <wp:inline distT="0" distB="0" distL="0" distR="0">
                                  <wp:extent cx="1168273" cy="1168273"/>
                                  <wp:effectExtent l="0" t="0" r="0" b="0"/>
                                  <wp:docPr id="1073741826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6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8273" cy="11682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33.6pt;margin-top:19.4pt;width:114.4pt;height:92.0pt;z-index:251659264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bidi w:val="0"/>
                      </w:pPr>
                      <w:r>
                        <w:drawing xmlns:a="http://schemas.openxmlformats.org/drawingml/2006/main">
                          <wp:inline distT="0" distB="0" distL="0" distR="0">
                            <wp:extent cx="1168273" cy="1168273"/>
                            <wp:effectExtent l="0" t="0" r="0" b="0"/>
                            <wp:docPr id="1073741826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6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4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68273" cy="11682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 side="bothSides" anchorx="margin" anchory="page"/>
              </v:shape>
            </w:pict>
          </mc:Fallback>
        </mc:AlternateContent>
      </w:r>
    </w:p>
    <w:p>
      <w:pPr>
        <w:pStyle w:val="Normal.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NOMINATION FORM FOR THE ELECTION OF OFFICE BEARERS ANNUAL GENERAL MEETING</w:t>
      </w:r>
    </w:p>
    <w:p>
      <w:pPr>
        <w:pStyle w:val="Normal.0"/>
        <w:jc w:val="center"/>
      </w:pPr>
      <w:r>
        <w:rPr>
          <w:rtl w:val="0"/>
          <w:lang w:val="en-US"/>
        </w:rPr>
        <w:t>All nominees must be current financial members</w:t>
      </w:r>
    </w:p>
    <w:p>
      <w:pPr>
        <w:pStyle w:val="Normal.0"/>
        <w:jc w:val="center"/>
      </w:pPr>
      <w:r>
        <w:rPr>
          <w:rtl w:val="0"/>
          <w:lang w:val="en-US"/>
        </w:rPr>
        <w:t>Nomination positions shall be for the period</w:t>
      </w:r>
    </w:p>
    <w:tbl>
      <w:tblPr>
        <w:tblW w:w="1006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68"/>
        <w:gridCol w:w="2127"/>
        <w:gridCol w:w="1701"/>
        <w:gridCol w:w="1700"/>
        <w:gridCol w:w="2268"/>
      </w:tblGrid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3399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480" w:lineRule="auto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Position</w:t>
            </w:r>
          </w:p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3399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480" w:lineRule="auto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Nominee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3399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480" w:lineRule="auto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Nominated by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3399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480" w:lineRule="auto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Seconded by</w:t>
            </w:r>
          </w:p>
        </w:tc>
        <w:tc>
          <w:tcPr>
            <w:tcW w:type="dxa" w:w="2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3399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480" w:lineRule="auto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Signature of Nominee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480" w:lineRule="auto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President</w:t>
            </w:r>
          </w:p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Vice President</w:t>
            </w:r>
          </w:p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Secretary/Media Manager</w:t>
            </w:r>
          </w:p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480" w:lineRule="auto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Membership secretary</w:t>
            </w:r>
          </w:p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480" w:lineRule="auto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Treasurer</w:t>
            </w:r>
          </w:p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480" w:lineRule="auto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South Australian Rep</w:t>
            </w:r>
          </w:p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480" w:lineRule="auto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Tasmania Rep</w:t>
            </w:r>
          </w:p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Education sub committee</w:t>
            </w:r>
          </w:p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Education sub committee</w:t>
            </w:r>
          </w:p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480" w:lineRule="auto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General</w:t>
            </w:r>
          </w:p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480" w:lineRule="auto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General</w:t>
            </w:r>
          </w:p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480" w:lineRule="auto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General</w:t>
            </w:r>
          </w:p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480" w:lineRule="auto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General</w:t>
            </w:r>
          </w:p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480" w:lineRule="auto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General</w:t>
            </w:r>
          </w:p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480" w:lineRule="auto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General</w:t>
            </w:r>
          </w:p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480" w:lineRule="auto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General</w:t>
            </w:r>
          </w:p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  <w:jc w:val="center"/>
      </w:pPr>
    </w:p>
    <w:p>
      <w:pPr>
        <w:pStyle w:val="Normal.0"/>
        <w:spacing w:line="480" w:lineRule="auto"/>
      </w:pPr>
      <w:r>
        <w:rPr>
          <w:sz w:val="18"/>
          <w:szCs w:val="18"/>
          <w:rtl w:val="0"/>
          <w:lang w:val="en-US"/>
        </w:rPr>
        <w:t>For further information or to submit prior to the AGM please contact AONA</w:t>
      </w:r>
      <w:r>
        <w:rPr>
          <w:sz w:val="18"/>
          <w:szCs w:val="18"/>
          <w:rtl w:val="0"/>
          <w:lang w:val="en-US"/>
        </w:rPr>
        <w:t xml:space="preserve"> Inc</w:t>
      </w:r>
      <w:r>
        <w:rPr>
          <w:sz w:val="18"/>
          <w:szCs w:val="18"/>
          <w:rtl w:val="0"/>
          <w:lang w:val="en-US"/>
        </w:rPr>
        <w:t xml:space="preserve"> via: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"mailto:info@aonansw.org.au"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info@aonansw.org.au</w:t>
      </w:r>
      <w:r>
        <w:rPr/>
        <w:fldChar w:fldCharType="end" w:fldLock="0"/>
      </w:r>
      <w:r>
        <w:rPr>
          <w:sz w:val="18"/>
          <w:szCs w:val="18"/>
          <w:rtl w:val="0"/>
          <w:lang w:val="en-US"/>
        </w:rPr>
        <w:t xml:space="preserve"> </w:t>
      </w:r>
    </w:p>
    <w:sectPr>
      <w:headerReference w:type="default" r:id="rId5"/>
      <w:footerReference w:type="default" r:id="rId6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